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886367" w:rsidRDefault="00582712" w:rsidP="00FA3C69">
      <w:pPr>
        <w:jc w:val="both"/>
        <w:rPr>
          <w:rFonts w:ascii="Tahoma" w:hAnsi="Tahoma" w:cs="Tahoma"/>
          <w:bCs/>
          <w:sz w:val="20"/>
          <w:lang w:val="hr-HR"/>
        </w:rPr>
      </w:pPr>
      <w:r w:rsidRPr="00886367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886367" w:rsidRDefault="001E43A6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  <w:r w:rsidRPr="00886367">
        <w:rPr>
          <w:rFonts w:ascii="Tahoma" w:hAnsi="Tahoma" w:cs="Tahoma"/>
          <w:bCs/>
          <w:sz w:val="20"/>
          <w:lang w:val="hr-HR"/>
        </w:rPr>
        <w:t>Broj:</w:t>
      </w:r>
      <w:r w:rsidR="00661811">
        <w:rPr>
          <w:rFonts w:ascii="Tahoma" w:hAnsi="Tahoma" w:cs="Tahoma"/>
          <w:bCs/>
          <w:sz w:val="20"/>
          <w:lang w:val="hr-HR"/>
        </w:rPr>
        <w:t xml:space="preserve"> </w:t>
      </w:r>
      <w:r w:rsidR="00B43858">
        <w:rPr>
          <w:rFonts w:ascii="Tahoma" w:hAnsi="Tahoma" w:cs="Tahoma"/>
          <w:bCs/>
          <w:sz w:val="20"/>
          <w:lang w:val="hr-HR"/>
        </w:rPr>
        <w:t>55-30-12-38001</w:t>
      </w:r>
    </w:p>
    <w:p w:rsidR="00BE4392" w:rsidRPr="00886367" w:rsidRDefault="001E43A6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  <w:r w:rsidRPr="00886367">
        <w:rPr>
          <w:rFonts w:ascii="Tahoma" w:hAnsi="Tahoma" w:cs="Tahoma"/>
          <w:bCs/>
          <w:sz w:val="20"/>
          <w:lang w:val="hr-HR"/>
        </w:rPr>
        <w:t>Datum:</w:t>
      </w:r>
    </w:p>
    <w:p w:rsidR="00BE4392" w:rsidRPr="00886367" w:rsidRDefault="00BE4392" w:rsidP="002008DF">
      <w:pPr>
        <w:ind w:right="142"/>
        <w:jc w:val="both"/>
        <w:rPr>
          <w:rFonts w:ascii="Tahoma" w:hAnsi="Tahoma" w:cs="Tahoma"/>
          <w:bCs/>
          <w:sz w:val="20"/>
          <w:lang w:val="hr-HR"/>
        </w:rPr>
      </w:pPr>
    </w:p>
    <w:p w:rsidR="00984F3D" w:rsidRPr="00886367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Na osnovu člana 20.a Zakona o radu F BiH („Službene novine F BiH“ broj 26/16, 89/18</w:t>
      </w:r>
      <w:r w:rsidR="00984F3D" w:rsidRPr="00886367">
        <w:rPr>
          <w:rFonts w:ascii="Tahoma" w:hAnsi="Tahoma" w:cs="Tahoma"/>
          <w:sz w:val="20"/>
          <w:lang w:val="hr-HR"/>
        </w:rPr>
        <w:t>, 44/22</w:t>
      </w:r>
      <w:r w:rsidR="00A15E0D" w:rsidRPr="00886367">
        <w:rPr>
          <w:rFonts w:ascii="Tahoma" w:hAnsi="Tahoma" w:cs="Tahoma"/>
          <w:sz w:val="20"/>
          <w:lang w:val="hr-HR"/>
        </w:rPr>
        <w:t>; 39/24</w:t>
      </w:r>
      <w:r w:rsidRPr="00886367">
        <w:rPr>
          <w:rFonts w:ascii="Tahoma" w:hAnsi="Tahoma" w:cs="Tahoma"/>
          <w:sz w:val="20"/>
          <w:lang w:val="hr-HR"/>
        </w:rPr>
        <w:t>),</w:t>
      </w:r>
      <w:r w:rsidR="00154077" w:rsidRPr="00886367">
        <w:rPr>
          <w:rFonts w:ascii="Tahoma" w:hAnsi="Tahoma" w:cs="Tahoma"/>
          <w:sz w:val="20"/>
          <w:lang w:val="hr-HR"/>
        </w:rPr>
        <w:t xml:space="preserve"> </w:t>
      </w:r>
      <w:r w:rsidRPr="00886367">
        <w:rPr>
          <w:rFonts w:ascii="Tahoma" w:hAnsi="Tahoma" w:cs="Tahoma"/>
          <w:sz w:val="20"/>
          <w:lang w:val="hr-HR"/>
        </w:rPr>
        <w:t>člana 4. Uredbe Vlade F BiH o postupku prijema u radni odnos u javnom sektoru F BiH („Službene novine F BiH 13/19</w:t>
      </w:r>
      <w:r w:rsidR="00565A94" w:rsidRPr="00886367">
        <w:rPr>
          <w:rFonts w:ascii="Tahoma" w:hAnsi="Tahoma" w:cs="Tahoma"/>
          <w:sz w:val="20"/>
          <w:lang w:val="hr-HR"/>
        </w:rPr>
        <w:t>, 9/21,</w:t>
      </w:r>
      <w:r w:rsidR="00886367">
        <w:rPr>
          <w:rFonts w:ascii="Tahoma" w:hAnsi="Tahoma" w:cs="Tahoma"/>
          <w:sz w:val="20"/>
          <w:lang w:val="hr-HR"/>
        </w:rPr>
        <w:t xml:space="preserve"> </w:t>
      </w:r>
      <w:r w:rsidR="003C7E49" w:rsidRPr="00886367">
        <w:rPr>
          <w:rFonts w:ascii="Tahoma" w:hAnsi="Tahoma" w:cs="Tahoma"/>
          <w:sz w:val="20"/>
          <w:lang w:val="hr-HR"/>
        </w:rPr>
        <w:t xml:space="preserve">53/21) </w:t>
      </w:r>
      <w:r w:rsidR="00984F3D" w:rsidRPr="00886367">
        <w:rPr>
          <w:rFonts w:ascii="Tahoma" w:hAnsi="Tahoma" w:cs="Tahoma"/>
          <w:sz w:val="20"/>
          <w:lang w:val="hr-HR"/>
        </w:rPr>
        <w:t xml:space="preserve"> člana  9</w:t>
      </w:r>
      <w:r w:rsidRPr="00886367">
        <w:rPr>
          <w:rFonts w:ascii="Tahoma" w:hAnsi="Tahoma" w:cs="Tahoma"/>
          <w:sz w:val="20"/>
          <w:lang w:val="hr-HR"/>
        </w:rPr>
        <w:t>.</w:t>
      </w:r>
      <w:r w:rsidR="00984F3D" w:rsidRPr="00886367">
        <w:rPr>
          <w:rFonts w:ascii="Tahoma" w:hAnsi="Tahoma" w:cs="Tahoma"/>
          <w:sz w:val="20"/>
          <w:lang w:val="hr-HR"/>
        </w:rPr>
        <w:t xml:space="preserve"> i 11.</w:t>
      </w:r>
      <w:r w:rsidRPr="00886367">
        <w:rPr>
          <w:rFonts w:ascii="Tahoma" w:hAnsi="Tahoma" w:cs="Tahoma"/>
          <w:sz w:val="20"/>
          <w:lang w:val="hr-HR"/>
        </w:rPr>
        <w:t xml:space="preserve"> Pravilnika o radu Kliničk</w:t>
      </w:r>
      <w:r w:rsidR="00BC5D7D" w:rsidRPr="00886367">
        <w:rPr>
          <w:rFonts w:ascii="Tahoma" w:hAnsi="Tahoma" w:cs="Tahoma"/>
          <w:sz w:val="20"/>
          <w:lang w:val="hr-HR"/>
        </w:rPr>
        <w:t>og</w:t>
      </w:r>
      <w:r w:rsidRPr="00886367">
        <w:rPr>
          <w:rFonts w:ascii="Tahoma" w:hAnsi="Tahoma" w:cs="Tahoma"/>
          <w:sz w:val="20"/>
          <w:lang w:val="hr-HR"/>
        </w:rPr>
        <w:t xml:space="preserve"> centr</w:t>
      </w:r>
      <w:r w:rsidR="00BC5D7D" w:rsidRPr="00886367">
        <w:rPr>
          <w:rFonts w:ascii="Tahoma" w:hAnsi="Tahoma" w:cs="Tahoma"/>
          <w:sz w:val="20"/>
          <w:lang w:val="hr-HR"/>
        </w:rPr>
        <w:t>a</w:t>
      </w:r>
      <w:r w:rsidRPr="00886367">
        <w:rPr>
          <w:rFonts w:ascii="Tahoma" w:hAnsi="Tahoma" w:cs="Tahoma"/>
          <w:sz w:val="20"/>
          <w:lang w:val="hr-HR"/>
        </w:rPr>
        <w:t xml:space="preserve"> Univerziteta u Sarajevu</w:t>
      </w:r>
      <w:r w:rsidR="00984F3D" w:rsidRPr="00886367">
        <w:rPr>
          <w:rFonts w:ascii="Tahoma" w:hAnsi="Tahoma" w:cs="Tahoma"/>
          <w:sz w:val="20"/>
          <w:lang w:val="hr-HR"/>
        </w:rPr>
        <w:t>,</w:t>
      </w:r>
      <w:r w:rsidRPr="00886367">
        <w:rPr>
          <w:rFonts w:ascii="Tahoma" w:hAnsi="Tahoma" w:cs="Tahoma"/>
          <w:b/>
          <w:sz w:val="20"/>
          <w:lang w:val="hr-HR"/>
        </w:rPr>
        <w:t xml:space="preserve"> </w:t>
      </w:r>
      <w:r w:rsidR="00BE24C3" w:rsidRPr="00886367">
        <w:rPr>
          <w:rFonts w:ascii="Tahoma" w:hAnsi="Tahoma" w:cs="Tahoma"/>
          <w:sz w:val="20"/>
          <w:lang w:val="hr-HR"/>
        </w:rPr>
        <w:t>Saglasnosti Federalnog ministarstva zdravstva BiH br. 01-33-11-1421/25 od 05.03.2025</w:t>
      </w:r>
      <w:r w:rsidR="003B7570">
        <w:rPr>
          <w:rFonts w:ascii="Tahoma" w:hAnsi="Tahoma" w:cs="Tahoma"/>
          <w:sz w:val="20"/>
          <w:lang w:val="hr-HR"/>
        </w:rPr>
        <w:t>. godine i</w:t>
      </w:r>
      <w:r w:rsidR="00BE24C3" w:rsidRPr="00886367">
        <w:rPr>
          <w:rFonts w:ascii="Tahoma" w:hAnsi="Tahoma" w:cs="Tahoma"/>
          <w:sz w:val="20"/>
          <w:lang w:val="hr-HR"/>
        </w:rPr>
        <w:t xml:space="preserve"> Odluke o davanju saglasnosti Vlade Kantona Sarajevo br.  02-04-3936-5/24 od 09.02.2024. godine</w:t>
      </w:r>
      <w:r w:rsidR="0023358E" w:rsidRPr="00886367">
        <w:rPr>
          <w:rFonts w:ascii="Tahoma" w:hAnsi="Tahoma" w:cs="Tahoma"/>
          <w:sz w:val="20"/>
          <w:lang w:val="hr-HR"/>
        </w:rPr>
        <w:t xml:space="preserve">, </w:t>
      </w:r>
      <w:r w:rsidR="00984F3D" w:rsidRPr="00886367">
        <w:rPr>
          <w:rFonts w:ascii="Tahoma" w:hAnsi="Tahoma" w:cs="Tahoma"/>
          <w:sz w:val="20"/>
          <w:lang w:val="hr-HR"/>
        </w:rPr>
        <w:t>raspisuje se</w:t>
      </w:r>
    </w:p>
    <w:p w:rsidR="0023358E" w:rsidRPr="00886367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B551A4" w:rsidRPr="00886367" w:rsidRDefault="00984F3D" w:rsidP="00110317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 xml:space="preserve">JAVNI </w:t>
      </w:r>
      <w:r w:rsidR="00B551A4" w:rsidRPr="00886367">
        <w:rPr>
          <w:rFonts w:ascii="Tahoma" w:hAnsi="Tahoma" w:cs="Tahoma"/>
          <w:b/>
          <w:sz w:val="20"/>
          <w:lang w:val="hr-HR"/>
        </w:rPr>
        <w:t>OGLAS</w:t>
      </w:r>
    </w:p>
    <w:p w:rsidR="00122C48" w:rsidRPr="00886367" w:rsidRDefault="00B551A4" w:rsidP="00110317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 xml:space="preserve">za prijem </w:t>
      </w:r>
      <w:r w:rsidR="00122C48" w:rsidRPr="00886367">
        <w:rPr>
          <w:rFonts w:ascii="Tahoma" w:hAnsi="Tahoma" w:cs="Tahoma"/>
          <w:b/>
          <w:sz w:val="20"/>
          <w:lang w:val="hr-HR"/>
        </w:rPr>
        <w:t xml:space="preserve">radnika za potrebe </w:t>
      </w:r>
      <w:r w:rsidR="008532F0" w:rsidRPr="00886367">
        <w:rPr>
          <w:rFonts w:ascii="Tahoma" w:hAnsi="Tahoma" w:cs="Tahoma"/>
          <w:b/>
          <w:sz w:val="20"/>
          <w:lang w:val="hr-HR"/>
        </w:rPr>
        <w:t>KCUS-a</w:t>
      </w:r>
    </w:p>
    <w:p w:rsidR="004A3EF7" w:rsidRPr="00886367" w:rsidRDefault="00EE6D6B" w:rsidP="00110317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20"/>
          <w:lang w:val="hr-HR"/>
        </w:rPr>
      </w:pPr>
      <w:r w:rsidRPr="00886367">
        <w:rPr>
          <w:rFonts w:ascii="Tahoma" w:hAnsi="Tahoma" w:cs="Tahoma"/>
          <w:b/>
          <w:bCs/>
          <w:sz w:val="20"/>
          <w:lang w:val="hr-HR"/>
        </w:rPr>
        <w:t xml:space="preserve">na </w:t>
      </w:r>
      <w:r w:rsidR="00997847" w:rsidRPr="00886367">
        <w:rPr>
          <w:rFonts w:ascii="Tahoma" w:hAnsi="Tahoma" w:cs="Tahoma"/>
          <w:b/>
          <w:bCs/>
          <w:sz w:val="20"/>
          <w:lang w:val="hr-HR"/>
        </w:rPr>
        <w:t>ne</w:t>
      </w:r>
      <w:r w:rsidRPr="00886367">
        <w:rPr>
          <w:rFonts w:ascii="Tahoma" w:hAnsi="Tahoma" w:cs="Tahoma"/>
          <w:b/>
          <w:bCs/>
          <w:sz w:val="20"/>
          <w:lang w:val="hr-HR"/>
        </w:rPr>
        <w:t>određeno vrijeme</w:t>
      </w:r>
    </w:p>
    <w:p w:rsidR="0023245B" w:rsidRPr="00886367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1009"/>
        <w:gridCol w:w="3412"/>
        <w:gridCol w:w="3481"/>
        <w:gridCol w:w="2574"/>
      </w:tblGrid>
      <w:tr w:rsidR="00CF4BD1" w:rsidRPr="00886367" w:rsidTr="004E7F76">
        <w:trPr>
          <w:trHeight w:val="70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886367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20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886367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886367">
              <w:rPr>
                <w:rFonts w:ascii="Tahoma" w:hAnsi="Tahoma" w:cs="Tahoma"/>
                <w:b/>
                <w:sz w:val="20"/>
                <w:lang w:val="hr-HR"/>
              </w:rPr>
              <w:t>RADNO MJESTO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886367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886367">
              <w:rPr>
                <w:rFonts w:ascii="Tahoma" w:hAnsi="Tahoma" w:cs="Tahoma"/>
                <w:b/>
                <w:sz w:val="20"/>
                <w:lang w:val="hr-HR"/>
              </w:rPr>
              <w:t>ORGANIZACIONA JEDINICA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886367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20"/>
                <w:lang w:val="hr-HR"/>
              </w:rPr>
            </w:pPr>
            <w:r w:rsidRPr="00886367">
              <w:rPr>
                <w:rFonts w:ascii="Tahoma" w:hAnsi="Tahoma" w:cs="Tahoma"/>
                <w:b/>
                <w:sz w:val="20"/>
                <w:lang w:val="hr-HR"/>
              </w:rPr>
              <w:t>BROJ IZVRŠILACA</w:t>
            </w:r>
          </w:p>
        </w:tc>
      </w:tr>
      <w:tr w:rsidR="00BE24C3" w:rsidRPr="00886367" w:rsidTr="004E7F76">
        <w:trPr>
          <w:trHeight w:val="45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C3" w:rsidRPr="00886367" w:rsidRDefault="00BE24C3" w:rsidP="00BE24C3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20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C3" w:rsidRPr="00886367" w:rsidRDefault="00BE24C3" w:rsidP="00BE24C3">
            <w:pPr>
              <w:rPr>
                <w:rFonts w:ascii="Tahoma" w:hAnsi="Tahoma" w:cs="Tahoma"/>
                <w:sz w:val="20"/>
                <w:lang w:val="hr-HR"/>
              </w:rPr>
            </w:pPr>
            <w:r w:rsidRPr="00886367">
              <w:rPr>
                <w:rFonts w:ascii="Tahoma" w:hAnsi="Tahoma" w:cs="Tahoma"/>
                <w:sz w:val="20"/>
                <w:lang w:val="hr-HR"/>
              </w:rPr>
              <w:t>Samostalni stručni saradnik za praćenje i realizaciju  ugovora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C3" w:rsidRPr="00886367" w:rsidRDefault="00BE24C3" w:rsidP="00BE24C3">
            <w:pPr>
              <w:jc w:val="both"/>
              <w:rPr>
                <w:rFonts w:ascii="Tahoma" w:hAnsi="Tahoma" w:cs="Tahoma"/>
                <w:sz w:val="20"/>
                <w:lang w:val="hr-HR"/>
              </w:rPr>
            </w:pPr>
            <w:r w:rsidRPr="00886367">
              <w:rPr>
                <w:rFonts w:ascii="Tahoma" w:hAnsi="Tahoma" w:cs="Tahoma"/>
                <w:sz w:val="20"/>
                <w:lang w:val="hr-HR"/>
              </w:rPr>
              <w:t xml:space="preserve">Sektor zajedničkih službi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C3" w:rsidRPr="00886367" w:rsidRDefault="00BE24C3" w:rsidP="00BE24C3">
            <w:pPr>
              <w:jc w:val="center"/>
              <w:rPr>
                <w:rFonts w:ascii="Tahoma" w:hAnsi="Tahoma" w:cs="Tahoma"/>
                <w:sz w:val="20"/>
                <w:lang w:val="hr-HR"/>
              </w:rPr>
            </w:pPr>
            <w:r w:rsidRPr="00886367">
              <w:rPr>
                <w:rFonts w:ascii="Tahoma" w:hAnsi="Tahoma" w:cs="Tahoma"/>
                <w:sz w:val="20"/>
                <w:lang w:val="hr-HR"/>
              </w:rPr>
              <w:t>1</w:t>
            </w:r>
          </w:p>
        </w:tc>
      </w:tr>
    </w:tbl>
    <w:p w:rsidR="00143F32" w:rsidRPr="00886367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E85899" w:rsidRPr="00886367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Prijem</w:t>
      </w:r>
      <w:r w:rsidR="002C363C" w:rsidRPr="00886367">
        <w:rPr>
          <w:rFonts w:ascii="Tahoma" w:hAnsi="Tahoma" w:cs="Tahoma"/>
          <w:sz w:val="20"/>
          <w:lang w:val="hr-HR"/>
        </w:rPr>
        <w:t xml:space="preserve"> u radni odnos </w:t>
      </w:r>
      <w:r w:rsidRPr="00886367">
        <w:rPr>
          <w:rFonts w:ascii="Tahoma" w:hAnsi="Tahoma" w:cs="Tahoma"/>
          <w:sz w:val="20"/>
          <w:lang w:val="hr-HR"/>
        </w:rPr>
        <w:t>se vrši na neodređeno vrijeme</w:t>
      </w:r>
      <w:r w:rsidR="00765F98" w:rsidRPr="00886367">
        <w:rPr>
          <w:rFonts w:ascii="Tahoma" w:hAnsi="Tahoma" w:cs="Tahoma"/>
          <w:sz w:val="20"/>
          <w:lang w:val="hr-HR"/>
        </w:rPr>
        <w:t>,</w:t>
      </w:r>
      <w:r w:rsidRPr="00886367">
        <w:rPr>
          <w:rFonts w:ascii="Tahoma" w:hAnsi="Tahoma" w:cs="Tahoma"/>
          <w:sz w:val="20"/>
          <w:lang w:val="hr-HR"/>
        </w:rPr>
        <w:t xml:space="preserve"> uz oba</w:t>
      </w:r>
      <w:r w:rsidR="00D20600" w:rsidRPr="00886367">
        <w:rPr>
          <w:rFonts w:ascii="Tahoma" w:hAnsi="Tahoma" w:cs="Tahoma"/>
          <w:sz w:val="20"/>
          <w:lang w:val="hr-HR"/>
        </w:rPr>
        <w:t>ve</w:t>
      </w:r>
      <w:r w:rsidR="00730009" w:rsidRPr="00886367">
        <w:rPr>
          <w:rFonts w:ascii="Tahoma" w:hAnsi="Tahoma" w:cs="Tahoma"/>
          <w:sz w:val="20"/>
          <w:lang w:val="hr-HR"/>
        </w:rPr>
        <w:t xml:space="preserve">zan probni rad </w:t>
      </w:r>
      <w:r w:rsidR="00D20600" w:rsidRPr="00886367">
        <w:rPr>
          <w:rFonts w:ascii="Tahoma" w:hAnsi="Tahoma" w:cs="Tahoma"/>
          <w:sz w:val="20"/>
          <w:lang w:val="hr-HR"/>
        </w:rPr>
        <w:t>u trajanju</w:t>
      </w:r>
      <w:r w:rsidR="00D92FAB" w:rsidRPr="00886367">
        <w:rPr>
          <w:rFonts w:ascii="Tahoma" w:hAnsi="Tahoma" w:cs="Tahoma"/>
          <w:sz w:val="20"/>
          <w:lang w:val="hr-HR"/>
        </w:rPr>
        <w:t xml:space="preserve"> od</w:t>
      </w:r>
      <w:r w:rsidR="00D20600" w:rsidRPr="00886367">
        <w:rPr>
          <w:rFonts w:ascii="Tahoma" w:hAnsi="Tahoma" w:cs="Tahoma"/>
          <w:sz w:val="20"/>
          <w:lang w:val="hr-HR"/>
        </w:rPr>
        <w:t xml:space="preserve"> </w:t>
      </w:r>
      <w:r w:rsidR="00984F3D" w:rsidRPr="00886367">
        <w:rPr>
          <w:rFonts w:ascii="Tahoma" w:hAnsi="Tahoma" w:cs="Tahoma"/>
          <w:sz w:val="20"/>
          <w:lang w:val="hr-HR"/>
        </w:rPr>
        <w:t>3</w:t>
      </w:r>
      <w:r w:rsidR="00DE55DC" w:rsidRPr="00886367">
        <w:rPr>
          <w:rFonts w:ascii="Tahoma" w:hAnsi="Tahoma" w:cs="Tahoma"/>
          <w:sz w:val="20"/>
          <w:lang w:val="hr-HR"/>
        </w:rPr>
        <w:t xml:space="preserve"> </w:t>
      </w:r>
      <w:r w:rsidRPr="00886367">
        <w:rPr>
          <w:rFonts w:ascii="Tahoma" w:hAnsi="Tahoma" w:cs="Tahoma"/>
          <w:sz w:val="20"/>
          <w:lang w:val="hr-HR"/>
        </w:rPr>
        <w:t>(</w:t>
      </w:r>
      <w:r w:rsidR="00984F3D" w:rsidRPr="00886367">
        <w:rPr>
          <w:rFonts w:ascii="Tahoma" w:hAnsi="Tahoma" w:cs="Tahoma"/>
          <w:sz w:val="20"/>
          <w:lang w:val="hr-HR"/>
        </w:rPr>
        <w:t>tri</w:t>
      </w:r>
      <w:r w:rsidR="00034358" w:rsidRPr="00886367">
        <w:rPr>
          <w:rFonts w:ascii="Tahoma" w:hAnsi="Tahoma" w:cs="Tahoma"/>
          <w:sz w:val="20"/>
          <w:lang w:val="hr-HR"/>
        </w:rPr>
        <w:t>) mjesec</w:t>
      </w:r>
      <w:r w:rsidR="00984F3D" w:rsidRPr="00886367">
        <w:rPr>
          <w:rFonts w:ascii="Tahoma" w:hAnsi="Tahoma" w:cs="Tahoma"/>
          <w:sz w:val="20"/>
          <w:lang w:val="hr-HR"/>
        </w:rPr>
        <w:t>a</w:t>
      </w:r>
      <w:r w:rsidR="00B55857" w:rsidRPr="00886367">
        <w:rPr>
          <w:rFonts w:ascii="Tahoma" w:hAnsi="Tahoma" w:cs="Tahoma"/>
          <w:sz w:val="20"/>
          <w:lang w:val="hr-HR"/>
        </w:rPr>
        <w:t>.</w:t>
      </w:r>
    </w:p>
    <w:p w:rsidR="00D30913" w:rsidRPr="00886367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146A7" w:rsidRPr="00886367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>Opis  poslova radnog mjesta za koje se oglas raspisuje</w:t>
      </w:r>
      <w:r w:rsidR="00C146A7" w:rsidRPr="00886367">
        <w:rPr>
          <w:rFonts w:ascii="Tahoma" w:hAnsi="Tahoma" w:cs="Tahoma"/>
          <w:b/>
          <w:sz w:val="20"/>
          <w:lang w:val="hr-HR"/>
        </w:rPr>
        <w:t>:</w:t>
      </w:r>
    </w:p>
    <w:p w:rsidR="00E108B2" w:rsidRPr="00886367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886367" w:rsidRPr="00886367" w:rsidRDefault="00886367" w:rsidP="00886367">
      <w:pPr>
        <w:pStyle w:val="BodyText2"/>
        <w:jc w:val="both"/>
        <w:rPr>
          <w:rFonts w:ascii="Tahoma" w:hAnsi="Tahoma" w:cs="Tahoma"/>
          <w:b/>
        </w:rPr>
      </w:pPr>
      <w:proofErr w:type="spellStart"/>
      <w:r w:rsidRPr="00886367">
        <w:rPr>
          <w:rFonts w:ascii="Tahoma" w:hAnsi="Tahoma" w:cs="Tahoma"/>
          <w:b/>
        </w:rPr>
        <w:t>Djelokrug</w:t>
      </w:r>
      <w:proofErr w:type="spellEnd"/>
      <w:r w:rsidRPr="00886367">
        <w:rPr>
          <w:rFonts w:ascii="Tahoma" w:hAnsi="Tahoma" w:cs="Tahoma"/>
          <w:b/>
        </w:rPr>
        <w:t xml:space="preserve"> rada: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 xml:space="preserve">prati provođenje postupaka javnih nabavki za radove, robe i usluge za potrebe KCUS-a iz djelokruga rada Tehničkog sektora 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prati realizaciju zaključenih ugovora po provedenim postupcima javnih nabavki (vrijednosno i vremenski) i daje informacije rukovodiocu Sektora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u okviru svog djelokruga rada vodi računa o striktnoj primjeni ZJN BiH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prati vremenske rokove utvrđene zakonom u proceduri javnih nabavki;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obavlja administrativne poslove u vezi sa javnim nabavkama i osigurava pravilno evidentiranje javnih nabavki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obavlja sve administrativne poslove vezane za postupak dodjele ugovora najpovoljnijem ponuđaču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učestvuje  u izradi mjesečnih, kvartalnih, periodičnih i godišnjih finansijsko-računovodstvenih izvještaja u vezi postupaka javnih nabvki</w:t>
      </w:r>
    </w:p>
    <w:p w:rsidR="00886367" w:rsidRPr="00886367" w:rsidRDefault="00886367" w:rsidP="00886367">
      <w:pPr>
        <w:pStyle w:val="ListParagraph"/>
        <w:numPr>
          <w:ilvl w:val="0"/>
          <w:numId w:val="24"/>
        </w:numPr>
        <w:contextualSpacing w:val="0"/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 xml:space="preserve">pruža pomoć saradnicima na poslovima javnih nabavki u izvršavanju poslova i zadataka iz finansijsko-računovodstvene oblasti pri provođenju postupaka nabavke 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izrađuje izvještaje o provedenim postupcima javnih nabavki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 xml:space="preserve">učestvuje u izradi plana javnih nabavki i eventualnih izmjena i dopuna plana;  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prati i kontroliše izvršenje plana nabavke i ugovora</w:t>
      </w:r>
    </w:p>
    <w:p w:rsidR="00886367" w:rsidRPr="00886367" w:rsidRDefault="00886367" w:rsidP="00886367">
      <w:pPr>
        <w:numPr>
          <w:ilvl w:val="0"/>
          <w:numId w:val="24"/>
        </w:numPr>
        <w:rPr>
          <w:rFonts w:ascii="Tahoma" w:hAnsi="Tahoma" w:cs="Tahoma"/>
          <w:noProof/>
          <w:sz w:val="20"/>
          <w:lang w:val="bs-Latn-BA"/>
        </w:rPr>
      </w:pPr>
      <w:r w:rsidRPr="00886367">
        <w:rPr>
          <w:rFonts w:ascii="Tahoma" w:hAnsi="Tahoma" w:cs="Tahoma"/>
          <w:noProof/>
          <w:sz w:val="20"/>
          <w:lang w:val="bs-Latn-BA"/>
        </w:rPr>
        <w:t>sarađuje sa drugim OJ</w:t>
      </w:r>
    </w:p>
    <w:p w:rsidR="00886367" w:rsidRPr="00886367" w:rsidRDefault="00886367" w:rsidP="00886367">
      <w:pPr>
        <w:pStyle w:val="ListParagraph"/>
        <w:numPr>
          <w:ilvl w:val="0"/>
          <w:numId w:val="24"/>
        </w:numPr>
        <w:contextualSpacing w:val="0"/>
        <w:rPr>
          <w:rFonts w:ascii="Tahoma" w:hAnsi="Tahoma" w:cs="Tahoma"/>
          <w:sz w:val="20"/>
          <w:lang w:val="hr-HR"/>
        </w:rPr>
      </w:pPr>
      <w:r w:rsidRPr="00661811">
        <w:rPr>
          <w:rFonts w:ascii="Tahoma" w:hAnsi="Tahoma" w:cs="Tahoma"/>
          <w:sz w:val="20"/>
          <w:lang w:val="it-IT"/>
        </w:rPr>
        <w:t xml:space="preserve">obavlja i druge poslove iz djelokrugu rada Sektora, a  po nalogu rukovodioca Sektora </w:t>
      </w:r>
    </w:p>
    <w:p w:rsidR="00886367" w:rsidRPr="00886367" w:rsidRDefault="00886367" w:rsidP="00886367">
      <w:pPr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Odgovornost:</w:t>
      </w:r>
    </w:p>
    <w:p w:rsidR="00886367" w:rsidRPr="00886367" w:rsidRDefault="00886367" w:rsidP="00886367">
      <w:pPr>
        <w:numPr>
          <w:ilvl w:val="0"/>
          <w:numId w:val="24"/>
        </w:numPr>
        <w:tabs>
          <w:tab w:val="clear" w:pos="360"/>
          <w:tab w:val="num" w:pos="438"/>
        </w:tabs>
        <w:ind w:left="438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rukovodiocu Sektora </w:t>
      </w:r>
    </w:p>
    <w:p w:rsidR="00886367" w:rsidRPr="00886367" w:rsidRDefault="00886367" w:rsidP="00886367">
      <w:pPr>
        <w:numPr>
          <w:ilvl w:val="0"/>
          <w:numId w:val="24"/>
        </w:numPr>
        <w:tabs>
          <w:tab w:val="clear" w:pos="360"/>
          <w:tab w:val="num" w:pos="438"/>
        </w:tabs>
        <w:ind w:left="438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stručna</w:t>
      </w:r>
    </w:p>
    <w:p w:rsidR="00886367" w:rsidRPr="00886367" w:rsidRDefault="00886367" w:rsidP="00886367">
      <w:pPr>
        <w:numPr>
          <w:ilvl w:val="0"/>
          <w:numId w:val="24"/>
        </w:numPr>
        <w:tabs>
          <w:tab w:val="clear" w:pos="360"/>
          <w:tab w:val="num" w:pos="438"/>
        </w:tabs>
        <w:ind w:left="438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materijalna</w:t>
      </w:r>
    </w:p>
    <w:p w:rsidR="000B7F56" w:rsidRPr="00886367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77F30" w:rsidRPr="00886367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C77F30" w:rsidRPr="00886367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BB3BA7" w:rsidRPr="00886367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bCs/>
          <w:sz w:val="20"/>
          <w:lang w:val="hr-HR"/>
        </w:rPr>
        <w:t>Uslovi:</w:t>
      </w:r>
      <w:r w:rsidRPr="00886367">
        <w:rPr>
          <w:rFonts w:ascii="Tahoma" w:hAnsi="Tahoma" w:cs="Tahoma"/>
          <w:b/>
          <w:sz w:val="20"/>
          <w:lang w:val="hr-HR"/>
        </w:rPr>
        <w:t xml:space="preserve"> Pored zakonom propisanih uslova za zasnivanje radnog odnosa kandidat treba da ispunjava i slijedeće uslove:    </w:t>
      </w:r>
    </w:p>
    <w:p w:rsidR="00085F8B" w:rsidRPr="00886367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20"/>
          <w:lang w:val="hr-HR"/>
        </w:rPr>
      </w:pPr>
    </w:p>
    <w:p w:rsidR="00510C9A" w:rsidRPr="00886367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Uslovi za radno mjesto</w:t>
      </w:r>
      <w:r w:rsidR="00C146A7" w:rsidRPr="00886367">
        <w:rPr>
          <w:rFonts w:ascii="Tahoma" w:hAnsi="Tahoma" w:cs="Tahoma"/>
          <w:sz w:val="20"/>
          <w:lang w:val="hr-HR"/>
        </w:rPr>
        <w:t>:</w:t>
      </w:r>
      <w:r w:rsidRPr="00886367">
        <w:rPr>
          <w:rFonts w:ascii="Tahoma" w:hAnsi="Tahoma" w:cs="Tahoma"/>
          <w:sz w:val="20"/>
          <w:lang w:val="hr-HR"/>
        </w:rPr>
        <w:t xml:space="preserve"> </w:t>
      </w:r>
    </w:p>
    <w:p w:rsidR="00BE24C3" w:rsidRPr="00886367" w:rsidRDefault="00BE24C3" w:rsidP="00BE24C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VSS Ekonomski fakultet, Pravni fakultet, Poljoprivredno prehrambeni fakultet, VII stepen stručne spreme</w:t>
      </w:r>
    </w:p>
    <w:p w:rsidR="00BE24C3" w:rsidRPr="00886367" w:rsidRDefault="00BE24C3" w:rsidP="00BE24C3">
      <w:pPr>
        <w:pStyle w:val="ListParagraph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ili visoko obrazovanje sa najmanje 240 ECTS bodova</w:t>
      </w:r>
    </w:p>
    <w:p w:rsidR="00BE24C3" w:rsidRPr="00886367" w:rsidRDefault="00BE24C3" w:rsidP="00BE24C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2 godine radnog iskustva u struci  </w:t>
      </w:r>
    </w:p>
    <w:p w:rsidR="00C259C1" w:rsidRPr="00886367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E108B2" w:rsidRPr="00886367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7F0A93" w:rsidRPr="00886367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 xml:space="preserve">Potrebno je da kandidati dostave </w:t>
      </w:r>
      <w:r w:rsidR="00866404" w:rsidRPr="00886367">
        <w:rPr>
          <w:rFonts w:ascii="Tahoma" w:hAnsi="Tahoma" w:cs="Tahoma"/>
          <w:b/>
          <w:sz w:val="20"/>
          <w:lang w:val="hr-HR"/>
        </w:rPr>
        <w:t xml:space="preserve">slijedeću dokumentaciju: </w:t>
      </w:r>
    </w:p>
    <w:p w:rsidR="00E108B2" w:rsidRPr="00886367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BE24C3" w:rsidRPr="00886367" w:rsidRDefault="00BE24C3" w:rsidP="00BE24C3">
      <w:p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- Svojeručno potpisanu prijavu na javni oglas sa naznakom pozicije za koju aplicira </w:t>
      </w:r>
    </w:p>
    <w:p w:rsidR="00BE24C3" w:rsidRPr="00886367" w:rsidRDefault="00BE24C3" w:rsidP="00BE24C3">
      <w:p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- Kraća biografija </w:t>
      </w:r>
    </w:p>
    <w:p w:rsidR="00BE24C3" w:rsidRPr="00886367" w:rsidRDefault="00BE24C3" w:rsidP="00BE24C3">
      <w:pPr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- Diploma o završenom fakultetu; </w:t>
      </w:r>
    </w:p>
    <w:p w:rsidR="00BE24C3" w:rsidRPr="00886367" w:rsidRDefault="00BE24C3" w:rsidP="00BE24C3">
      <w:pPr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- Potvrda o radnom iskustvu u struci</w:t>
      </w:r>
    </w:p>
    <w:p w:rsidR="00BE24C3" w:rsidRPr="00886367" w:rsidRDefault="00BE24C3" w:rsidP="00BE24C3">
      <w:pPr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- Uvjerenje o državljanstvu</w:t>
      </w:r>
    </w:p>
    <w:p w:rsidR="00BE24C3" w:rsidRPr="00886367" w:rsidRDefault="00BE24C3" w:rsidP="00BE24C3">
      <w:p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- CIPS prijava</w:t>
      </w:r>
    </w:p>
    <w:p w:rsidR="00326654" w:rsidRPr="00886367" w:rsidRDefault="00326654" w:rsidP="0068409C">
      <w:pPr>
        <w:jc w:val="both"/>
        <w:rPr>
          <w:rFonts w:ascii="Tahoma" w:hAnsi="Tahoma" w:cs="Tahoma"/>
          <w:b/>
          <w:bCs/>
          <w:sz w:val="20"/>
          <w:lang w:val="hr-HR"/>
        </w:rPr>
      </w:pPr>
    </w:p>
    <w:p w:rsidR="0068409C" w:rsidRPr="00886367" w:rsidRDefault="0068409C" w:rsidP="0068409C">
      <w:pPr>
        <w:jc w:val="both"/>
        <w:rPr>
          <w:rFonts w:ascii="Tahoma" w:hAnsi="Tahoma" w:cs="Tahoma"/>
          <w:b/>
          <w:bCs/>
          <w:sz w:val="20"/>
          <w:lang w:val="hr-HR" w:eastAsia="bs-Latn-BA"/>
        </w:rPr>
      </w:pPr>
      <w:r w:rsidRPr="00886367">
        <w:rPr>
          <w:rFonts w:ascii="Tahoma" w:hAnsi="Tahoma" w:cs="Tahoma"/>
          <w:b/>
          <w:bCs/>
          <w:sz w:val="20"/>
          <w:lang w:val="hr-HR"/>
        </w:rPr>
        <w:t>Dodatna dokumentacija:</w:t>
      </w:r>
    </w:p>
    <w:p w:rsidR="0068409C" w:rsidRPr="00886367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86367">
        <w:rPr>
          <w:rFonts w:ascii="Tahoma" w:hAnsi="Tahoma" w:cs="Tahoma"/>
          <w:sz w:val="20"/>
          <w:szCs w:val="20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68409C" w:rsidRPr="00886367" w:rsidRDefault="0068409C" w:rsidP="0068409C">
      <w:pPr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bs-Latn-BA"/>
        </w:rPr>
        <w:t>- Uvjerenje o statusu nezaposlenog lica izdato od nadležnog organa za vođenje evidencije o nezaposlenim licima, ne starije od 15 dana od dana izdavanja</w:t>
      </w:r>
    </w:p>
    <w:p w:rsidR="0068409C" w:rsidRPr="00886367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20"/>
          <w:szCs w:val="20"/>
        </w:rPr>
      </w:pPr>
      <w:r w:rsidRPr="00886367">
        <w:rPr>
          <w:rFonts w:ascii="Tahoma" w:hAnsi="Tahoma" w:cs="Tahoma"/>
          <w:sz w:val="20"/>
          <w:szCs w:val="20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 ratnog priznanja i odlikovanja.</w:t>
      </w:r>
    </w:p>
    <w:p w:rsidR="0068409C" w:rsidRPr="00886367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86367">
        <w:rPr>
          <w:rFonts w:ascii="Tahoma" w:hAnsi="Tahoma" w:cs="Tahoma"/>
          <w:sz w:val="20"/>
          <w:szCs w:val="20"/>
        </w:rPr>
        <w:t>Prednost pri zapošljavanju pod jednakim uvjetima kandidat ostvaruje, samo ukoliko pored opštih i posebnih uslova javnog oglasa, ispunjava i sljedeće:</w:t>
      </w:r>
    </w:p>
    <w:p w:rsidR="0068409C" w:rsidRPr="00886367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886367">
        <w:rPr>
          <w:rFonts w:ascii="Tahoma" w:hAnsi="Tahoma" w:cs="Tahoma"/>
          <w:sz w:val="20"/>
          <w:szCs w:val="20"/>
        </w:rPr>
        <w:t>– da je nezaposleno lice i</w:t>
      </w:r>
    </w:p>
    <w:p w:rsidR="0068409C" w:rsidRPr="00886367" w:rsidRDefault="0068409C" w:rsidP="0068409C">
      <w:pPr>
        <w:jc w:val="both"/>
        <w:rPr>
          <w:rFonts w:ascii="Tahoma" w:hAnsi="Tahoma" w:cs="Tahoma"/>
          <w:color w:val="FF0000"/>
          <w:sz w:val="20"/>
          <w:lang w:val="bs-Latn-BA"/>
        </w:rPr>
      </w:pPr>
      <w:r w:rsidRPr="00886367">
        <w:rPr>
          <w:rFonts w:ascii="Tahoma" w:hAnsi="Tahoma" w:cs="Tahoma"/>
          <w:sz w:val="20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:rsidR="00152E2B" w:rsidRPr="00886367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bs-Latn-BA"/>
        </w:rPr>
      </w:pPr>
    </w:p>
    <w:p w:rsidR="008E59DC" w:rsidRPr="00886367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bs-Latn-BA"/>
        </w:rPr>
      </w:pPr>
    </w:p>
    <w:p w:rsidR="001A045A" w:rsidRPr="00886367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Prijave na Oglas dostaviti na adresu:       </w:t>
      </w:r>
      <w:r w:rsidR="00D52CFD" w:rsidRPr="00886367">
        <w:rPr>
          <w:rFonts w:ascii="Tahoma" w:hAnsi="Tahoma" w:cs="Tahoma"/>
          <w:sz w:val="20"/>
          <w:lang w:val="hr-HR"/>
        </w:rPr>
        <w:t xml:space="preserve"> </w:t>
      </w:r>
      <w:r w:rsidRPr="00886367">
        <w:rPr>
          <w:rFonts w:ascii="Tahoma" w:hAnsi="Tahoma" w:cs="Tahoma"/>
          <w:sz w:val="20"/>
          <w:lang w:val="hr-HR"/>
        </w:rPr>
        <w:t xml:space="preserve">    </w:t>
      </w:r>
      <w:r w:rsidRPr="00886367">
        <w:rPr>
          <w:rFonts w:ascii="Tahoma" w:hAnsi="Tahoma" w:cs="Tahoma"/>
          <w:sz w:val="20"/>
          <w:lang w:val="hr-HR"/>
        </w:rPr>
        <w:tab/>
        <w:t xml:space="preserve">     </w:t>
      </w:r>
      <w:r w:rsidR="00CB147A" w:rsidRPr="00886367">
        <w:rPr>
          <w:rFonts w:ascii="Tahoma" w:hAnsi="Tahoma" w:cs="Tahoma"/>
          <w:sz w:val="20"/>
          <w:lang w:val="hr-HR"/>
        </w:rPr>
        <w:t xml:space="preserve"> </w:t>
      </w:r>
      <w:r w:rsidRPr="00886367">
        <w:rPr>
          <w:rFonts w:ascii="Tahoma" w:hAnsi="Tahoma" w:cs="Tahoma"/>
          <w:sz w:val="20"/>
          <w:lang w:val="hr-HR"/>
        </w:rPr>
        <w:t xml:space="preserve"> </w:t>
      </w:r>
      <w:r w:rsidR="00A22AB9" w:rsidRPr="00886367">
        <w:rPr>
          <w:rFonts w:ascii="Tahoma" w:hAnsi="Tahoma" w:cs="Tahoma"/>
          <w:sz w:val="20"/>
          <w:lang w:val="hr-HR"/>
        </w:rPr>
        <w:t xml:space="preserve">     </w:t>
      </w:r>
    </w:p>
    <w:p w:rsidR="000158DA" w:rsidRPr="00886367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>Klinički centar</w:t>
      </w:r>
    </w:p>
    <w:p w:rsidR="000158DA" w:rsidRPr="00886367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>Univerziteta u Sarajevu</w:t>
      </w:r>
    </w:p>
    <w:p w:rsidR="000158DA" w:rsidRPr="00886367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>Bolnička br.25</w:t>
      </w:r>
    </w:p>
    <w:p w:rsidR="000158DA" w:rsidRPr="00886367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>Stručna nemedicinska disciplina (protokol)</w:t>
      </w:r>
    </w:p>
    <w:p w:rsidR="000158DA" w:rsidRPr="00886367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152E2B" w:rsidRPr="00886367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52E2B" w:rsidRPr="00886367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52E2B" w:rsidRPr="00886367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CB147A" w:rsidRPr="00886367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>Obavezno naglasiti na koverti puni naziv pozicije na koju se aplicira.</w:t>
      </w:r>
      <w:r w:rsidR="00253F36" w:rsidRPr="00886367">
        <w:rPr>
          <w:rFonts w:ascii="Tahoma" w:hAnsi="Tahoma" w:cs="Tahoma"/>
          <w:sz w:val="20"/>
          <w:lang w:val="hr-HR"/>
        </w:rPr>
        <w:t xml:space="preserve"> </w:t>
      </w:r>
      <w:r w:rsidR="00806521" w:rsidRPr="00886367">
        <w:rPr>
          <w:rFonts w:ascii="Tahoma" w:hAnsi="Tahoma" w:cs="Tahoma"/>
          <w:sz w:val="20"/>
          <w:lang w:val="hr-HR"/>
        </w:rPr>
        <w:t>Rok za podnoš</w:t>
      </w:r>
      <w:r w:rsidR="00DE516C" w:rsidRPr="00886367">
        <w:rPr>
          <w:rFonts w:ascii="Tahoma" w:hAnsi="Tahoma" w:cs="Tahoma"/>
          <w:sz w:val="20"/>
          <w:lang w:val="hr-HR"/>
        </w:rPr>
        <w:t>e</w:t>
      </w:r>
      <w:r w:rsidR="00817B9C" w:rsidRPr="00886367">
        <w:rPr>
          <w:rFonts w:ascii="Tahoma" w:hAnsi="Tahoma" w:cs="Tahoma"/>
          <w:sz w:val="20"/>
          <w:lang w:val="hr-HR"/>
        </w:rPr>
        <w:t>nje prijava na javni oglas je 8</w:t>
      </w:r>
      <w:r w:rsidR="00806521" w:rsidRPr="00886367">
        <w:rPr>
          <w:rFonts w:ascii="Tahoma" w:hAnsi="Tahoma" w:cs="Tahoma"/>
          <w:sz w:val="20"/>
          <w:lang w:val="hr-HR"/>
        </w:rPr>
        <w:t xml:space="preserve"> dana računajući od dana njegove posljednje objave.</w:t>
      </w:r>
    </w:p>
    <w:p w:rsidR="00E108B2" w:rsidRPr="00886367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20"/>
          <w:lang w:val="hr-HR"/>
        </w:rPr>
      </w:pPr>
    </w:p>
    <w:p w:rsidR="0014228C" w:rsidRPr="00886367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b/>
          <w:bCs/>
          <w:sz w:val="20"/>
          <w:lang w:val="hr-HR"/>
        </w:rPr>
        <w:t>Napomena:</w:t>
      </w:r>
      <w:r w:rsidRPr="00886367">
        <w:rPr>
          <w:rFonts w:ascii="Tahoma" w:hAnsi="Tahoma" w:cs="Tahoma"/>
          <w:sz w:val="20"/>
          <w:lang w:val="hr-HR"/>
        </w:rPr>
        <w:t xml:space="preserve"> Dokumentacija kojom se dokazuje ispunjavanje uslova Oglasa </w:t>
      </w:r>
      <w:r w:rsidR="00D1432E" w:rsidRPr="00886367">
        <w:rPr>
          <w:rFonts w:ascii="Tahoma" w:hAnsi="Tahoma" w:cs="Tahoma"/>
          <w:sz w:val="20"/>
          <w:lang w:val="hr-HR"/>
        </w:rPr>
        <w:t>može biti orginal ili</w:t>
      </w:r>
      <w:r w:rsidRPr="00886367">
        <w:rPr>
          <w:rFonts w:ascii="Tahoma" w:hAnsi="Tahoma" w:cs="Tahoma"/>
          <w:sz w:val="20"/>
          <w:lang w:val="hr-HR"/>
        </w:rPr>
        <w:t xml:space="preserve"> ovjerena </w:t>
      </w:r>
      <w:r w:rsidR="00D1432E" w:rsidRPr="00886367">
        <w:rPr>
          <w:rFonts w:ascii="Tahoma" w:hAnsi="Tahoma" w:cs="Tahoma"/>
          <w:sz w:val="20"/>
          <w:lang w:val="hr-HR"/>
        </w:rPr>
        <w:t>kopij</w:t>
      </w:r>
      <w:r w:rsidR="0014228C" w:rsidRPr="00886367">
        <w:rPr>
          <w:rFonts w:ascii="Tahoma" w:hAnsi="Tahoma" w:cs="Tahoma"/>
          <w:sz w:val="20"/>
          <w:lang w:val="hr-HR"/>
        </w:rPr>
        <w:t>a</w:t>
      </w:r>
      <w:r w:rsidR="00D1432E" w:rsidRPr="00886367">
        <w:rPr>
          <w:rFonts w:ascii="Tahoma" w:hAnsi="Tahoma" w:cs="Tahoma"/>
          <w:sz w:val="20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886367">
        <w:rPr>
          <w:rFonts w:ascii="Tahoma" w:hAnsi="Tahoma" w:cs="Tahoma"/>
          <w:sz w:val="20"/>
          <w:lang w:val="hr-HR"/>
        </w:rPr>
        <w:t xml:space="preserve"> (licenca za samostalan rad)</w:t>
      </w:r>
      <w:r w:rsidR="00D1432E" w:rsidRPr="00886367">
        <w:rPr>
          <w:rFonts w:ascii="Tahoma" w:hAnsi="Tahoma" w:cs="Tahoma"/>
          <w:sz w:val="20"/>
          <w:lang w:val="hr-HR"/>
        </w:rPr>
        <w:t>. Dokazi koji se dostavljaju o mjestu prebivališta (CIPS prijava) i državljanstvu (uvjerenje o državljanstvu</w:t>
      </w:r>
      <w:r w:rsidR="00806521" w:rsidRPr="00886367">
        <w:rPr>
          <w:rFonts w:ascii="Tahoma" w:hAnsi="Tahoma" w:cs="Tahoma"/>
          <w:sz w:val="20"/>
          <w:lang w:val="hr-HR"/>
        </w:rPr>
        <w:t>)</w:t>
      </w:r>
      <w:r w:rsidR="00D1432E" w:rsidRPr="00886367">
        <w:rPr>
          <w:rFonts w:ascii="Tahoma" w:hAnsi="Tahoma" w:cs="Tahoma"/>
          <w:sz w:val="20"/>
          <w:lang w:val="hr-HR"/>
        </w:rPr>
        <w:t xml:space="preserve"> ne mogu biti stariji od 6 mjeseci računajući od da</w:t>
      </w:r>
      <w:r w:rsidR="00374F68" w:rsidRPr="00886367">
        <w:rPr>
          <w:rFonts w:ascii="Tahoma" w:hAnsi="Tahoma" w:cs="Tahoma"/>
          <w:sz w:val="20"/>
          <w:lang w:val="hr-HR"/>
        </w:rPr>
        <w:t xml:space="preserve">na izdavanja istog od strane nadležnog organa. </w:t>
      </w:r>
      <w:r w:rsidRPr="00886367">
        <w:rPr>
          <w:rFonts w:ascii="Tahoma" w:hAnsi="Tahoma" w:cs="Tahoma"/>
          <w:sz w:val="20"/>
          <w:lang w:val="hr-HR"/>
        </w:rPr>
        <w:t>KCUS nije u obavezi vraćanja dokume</w:t>
      </w:r>
      <w:r w:rsidR="00A428E4" w:rsidRPr="00886367">
        <w:rPr>
          <w:rFonts w:ascii="Tahoma" w:hAnsi="Tahoma" w:cs="Tahoma"/>
          <w:sz w:val="20"/>
          <w:lang w:val="hr-HR"/>
        </w:rPr>
        <w:t>ntacije koja se prilaže uz prijavu</w:t>
      </w:r>
      <w:r w:rsidRPr="00886367">
        <w:rPr>
          <w:rFonts w:ascii="Tahoma" w:hAnsi="Tahoma" w:cs="Tahoma"/>
          <w:sz w:val="20"/>
          <w:lang w:val="hr-HR"/>
        </w:rPr>
        <w:t>.</w:t>
      </w:r>
      <w:r w:rsidR="00DA73D7" w:rsidRPr="00886367">
        <w:rPr>
          <w:rFonts w:ascii="Tahoma" w:hAnsi="Tahoma" w:cs="Tahoma"/>
          <w:sz w:val="20"/>
          <w:lang w:val="hr-HR"/>
        </w:rPr>
        <w:t xml:space="preserve"> </w:t>
      </w:r>
    </w:p>
    <w:p w:rsidR="00E108B2" w:rsidRPr="00886367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14228C" w:rsidRPr="00886367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Samo izabrani kandidati će biti u obavezi u određenom roku dostaviti </w:t>
      </w:r>
      <w:r w:rsidR="001573C5" w:rsidRPr="00886367">
        <w:rPr>
          <w:rFonts w:ascii="Tahoma" w:hAnsi="Tahoma" w:cs="Tahoma"/>
          <w:sz w:val="20"/>
          <w:lang w:val="hr-HR"/>
        </w:rPr>
        <w:t>ljekarsko uvjerenje kao dokaz da njegovo zdravstveno stanje i psihofizičke sposobnosti</w:t>
      </w:r>
      <w:r w:rsidR="006B1491" w:rsidRPr="00886367">
        <w:rPr>
          <w:rFonts w:ascii="Tahoma" w:hAnsi="Tahoma" w:cs="Tahoma"/>
          <w:sz w:val="20"/>
          <w:lang w:val="hr-HR"/>
        </w:rPr>
        <w:t xml:space="preserve"> odgovaraju uslovima radnog mjesta </w:t>
      </w:r>
      <w:r w:rsidR="00806521" w:rsidRPr="00886367">
        <w:rPr>
          <w:rFonts w:ascii="Tahoma" w:hAnsi="Tahoma" w:cs="Tahoma"/>
          <w:sz w:val="20"/>
          <w:lang w:val="hr-HR"/>
        </w:rPr>
        <w:t>na koje se primaju.</w:t>
      </w:r>
    </w:p>
    <w:p w:rsidR="00BF14A4" w:rsidRPr="00886367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  <w:r w:rsidRPr="00886367">
        <w:rPr>
          <w:rFonts w:ascii="Tahoma" w:hAnsi="Tahoma" w:cs="Tahoma"/>
          <w:sz w:val="20"/>
          <w:lang w:val="hr-HR"/>
        </w:rPr>
        <w:t xml:space="preserve">Nepotpune i neblagovremene prijave neće se razmatrati. </w:t>
      </w:r>
    </w:p>
    <w:p w:rsidR="00D52ECB" w:rsidRPr="00886367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886367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886367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4936F7" w:rsidRPr="00886367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20"/>
          <w:lang w:val="hr-HR"/>
        </w:rPr>
      </w:pPr>
    </w:p>
    <w:p w:rsidR="00D52ECB" w:rsidRPr="00886367" w:rsidRDefault="00D52ECB" w:rsidP="00D52ECB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886367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                       </w:t>
      </w: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hr-HR"/>
        </w:rPr>
        <w:tab/>
        <w:t xml:space="preserve">       GENERALNI DIREKTOR</w:t>
      </w:r>
    </w:p>
    <w:p w:rsidR="00D52ECB" w:rsidRPr="00886367" w:rsidRDefault="00D52ECB" w:rsidP="00D52ECB">
      <w:pPr>
        <w:ind w:left="-567"/>
        <w:rPr>
          <w:rFonts w:ascii="Tahoma" w:hAnsi="Tahoma" w:cs="Tahoma"/>
          <w:b/>
          <w:sz w:val="20"/>
          <w:lang w:val="bs-Latn-BA"/>
        </w:rPr>
      </w:pP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hr-HR"/>
        </w:rPr>
        <w:tab/>
      </w:r>
      <w:r w:rsidRPr="00886367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662FDE" w:rsidRPr="00886367" w:rsidRDefault="00D52ECB" w:rsidP="00340965">
      <w:pPr>
        <w:ind w:left="-567"/>
        <w:rPr>
          <w:rFonts w:ascii="Tahoma" w:hAnsi="Tahoma" w:cs="Tahoma"/>
          <w:b/>
          <w:sz w:val="20"/>
          <w:lang w:val="bs-Latn-BA"/>
        </w:rPr>
      </w:pPr>
      <w:r w:rsidRPr="00886367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                               </w:t>
      </w:r>
      <w:r w:rsidRPr="00886367">
        <w:rPr>
          <w:rFonts w:ascii="Tahoma" w:hAnsi="Tahoma" w:cs="Tahoma"/>
          <w:b/>
          <w:sz w:val="20"/>
          <w:lang w:val="bs-Latn-BA"/>
        </w:rPr>
        <w:tab/>
      </w:r>
      <w:r w:rsidRPr="00886367">
        <w:rPr>
          <w:rFonts w:ascii="Tahoma" w:hAnsi="Tahoma" w:cs="Tahoma"/>
          <w:b/>
          <w:sz w:val="20"/>
          <w:lang w:val="bs-Latn-BA"/>
        </w:rPr>
        <w:tab/>
        <w:t xml:space="preserve"> Prim.</w:t>
      </w:r>
      <w:r w:rsidR="00BE24C3" w:rsidRPr="00886367">
        <w:rPr>
          <w:rFonts w:ascii="Tahoma" w:hAnsi="Tahoma" w:cs="Tahoma"/>
          <w:b/>
          <w:sz w:val="20"/>
          <w:lang w:val="bs-Latn-BA"/>
        </w:rPr>
        <w:t>D</w:t>
      </w:r>
      <w:r w:rsidRPr="00886367">
        <w:rPr>
          <w:rFonts w:ascii="Tahoma" w:hAnsi="Tahoma" w:cs="Tahoma"/>
          <w:b/>
          <w:sz w:val="20"/>
          <w:lang w:val="bs-Latn-BA"/>
        </w:rPr>
        <w:t xml:space="preserve">oc.dr.sc.med. Alen Pilav </w:t>
      </w:r>
    </w:p>
    <w:sectPr w:rsidR="00662FDE" w:rsidRPr="00886367" w:rsidSect="00340965">
      <w:footerReference w:type="default" r:id="rId11"/>
      <w:pgSz w:w="11907" w:h="16840" w:code="9"/>
      <w:pgMar w:top="284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198" w:rsidRDefault="00912198" w:rsidP="00F050E6">
      <w:r>
        <w:separator/>
      </w:r>
    </w:p>
  </w:endnote>
  <w:endnote w:type="continuationSeparator" w:id="0">
    <w:p w:rsidR="00912198" w:rsidRDefault="00912198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7F246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19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198" w:rsidRDefault="00912198" w:rsidP="00F050E6">
      <w:r>
        <w:separator/>
      </w:r>
    </w:p>
  </w:footnote>
  <w:footnote w:type="continuationSeparator" w:id="0">
    <w:p w:rsidR="00912198" w:rsidRDefault="00912198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6FDC11DF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296638594">
    <w:abstractNumId w:val="22"/>
  </w:num>
  <w:num w:numId="2" w16cid:durableId="554045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301506">
    <w:abstractNumId w:val="5"/>
  </w:num>
  <w:num w:numId="4" w16cid:durableId="203521295">
    <w:abstractNumId w:val="3"/>
  </w:num>
  <w:num w:numId="5" w16cid:durableId="1110393194">
    <w:abstractNumId w:val="10"/>
  </w:num>
  <w:num w:numId="6" w16cid:durableId="1444685535">
    <w:abstractNumId w:val="2"/>
  </w:num>
  <w:num w:numId="7" w16cid:durableId="273025851">
    <w:abstractNumId w:val="1"/>
  </w:num>
  <w:num w:numId="8" w16cid:durableId="1823085580">
    <w:abstractNumId w:val="20"/>
  </w:num>
  <w:num w:numId="9" w16cid:durableId="1703749827">
    <w:abstractNumId w:val="17"/>
  </w:num>
  <w:num w:numId="10" w16cid:durableId="1615213345">
    <w:abstractNumId w:val="4"/>
  </w:num>
  <w:num w:numId="11" w16cid:durableId="1946305740">
    <w:abstractNumId w:val="6"/>
  </w:num>
  <w:num w:numId="12" w16cid:durableId="582422273">
    <w:abstractNumId w:val="9"/>
  </w:num>
  <w:num w:numId="13" w16cid:durableId="596136344">
    <w:abstractNumId w:val="16"/>
  </w:num>
  <w:num w:numId="14" w16cid:durableId="1066799855">
    <w:abstractNumId w:val="12"/>
  </w:num>
  <w:num w:numId="15" w16cid:durableId="2031832370">
    <w:abstractNumId w:val="23"/>
  </w:num>
  <w:num w:numId="16" w16cid:durableId="1525436496">
    <w:abstractNumId w:val="0"/>
  </w:num>
  <w:num w:numId="17" w16cid:durableId="330523709">
    <w:abstractNumId w:val="11"/>
  </w:num>
  <w:num w:numId="18" w16cid:durableId="717046548">
    <w:abstractNumId w:val="18"/>
  </w:num>
  <w:num w:numId="19" w16cid:durableId="410392930">
    <w:abstractNumId w:val="7"/>
  </w:num>
  <w:num w:numId="20" w16cid:durableId="85469615">
    <w:abstractNumId w:val="14"/>
  </w:num>
  <w:num w:numId="21" w16cid:durableId="399865321">
    <w:abstractNumId w:val="15"/>
  </w:num>
  <w:num w:numId="22" w16cid:durableId="1486387678">
    <w:abstractNumId w:val="19"/>
  </w:num>
  <w:num w:numId="23" w16cid:durableId="215511883">
    <w:abstractNumId w:val="8"/>
  </w:num>
  <w:num w:numId="24" w16cid:durableId="178777467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317"/>
    <w:rsid w:val="0011094D"/>
    <w:rsid w:val="0011418E"/>
    <w:rsid w:val="00117639"/>
    <w:rsid w:val="00122C48"/>
    <w:rsid w:val="00123B21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00A6"/>
    <w:rsid w:val="00241CF1"/>
    <w:rsid w:val="00241F74"/>
    <w:rsid w:val="00245C5F"/>
    <w:rsid w:val="00250353"/>
    <w:rsid w:val="00251C9F"/>
    <w:rsid w:val="00253F36"/>
    <w:rsid w:val="00254FC2"/>
    <w:rsid w:val="00262B77"/>
    <w:rsid w:val="002647FE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654"/>
    <w:rsid w:val="0032687F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B7570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E7F76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1811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372F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10D6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367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4B6B"/>
    <w:rsid w:val="00911464"/>
    <w:rsid w:val="009116E0"/>
    <w:rsid w:val="00912198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61920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1685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12E0"/>
    <w:rsid w:val="00AF5E77"/>
    <w:rsid w:val="00AF65E5"/>
    <w:rsid w:val="00AF6F7B"/>
    <w:rsid w:val="00AF7359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3858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85F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24C3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4D9B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37CC1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2DFC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BB7C"/>
  <w15:docId w15:val="{B06223FB-64A0-43F6-9A40-E0D1621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Indent">
    <w:name w:val="Body Text Indent"/>
    <w:basedOn w:val="Normal"/>
    <w:link w:val="BodyTextIndentChar"/>
    <w:semiHidden/>
    <w:unhideWhenUsed/>
    <w:rsid w:val="003266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665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A8EC7-9EF0-4BD7-BE5A-E86850BC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2025-11-03T11:16:00Z</cp:lastPrinted>
  <dcterms:created xsi:type="dcterms:W3CDTF">2025-11-06T08:04:00Z</dcterms:created>
  <dcterms:modified xsi:type="dcterms:W3CDTF">2025-11-06T08:06:00Z</dcterms:modified>
</cp:coreProperties>
</file>